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123 vom 20. August 2024</w:t>
      </w:r>
    </w:p>
    <w:p>
      <w:r>
        <w:t>GR Gerichte, 2024-08-20, DE</w:t>
      </w:r>
    </w:p>
    <w:p>
      <w:r>
        <w:rPr>
          <w:b/>
        </w:rPr>
        <w:t xml:space="preserve">Quelle: </w:t>
      </w:r>
      <w:r>
        <w:t>https://mcp.opencaselaw.ch/entscheid/gr_gerichte_S 2023 123</w:t>
      </w:r>
    </w:p>
    <w:p>
      <w:r>
        <w:t>FR: GR_GERICHTE S 2023 123 du 20 août 2024</w:t>
      </w:r>
    </w:p>
    <w:p>
      <w:r>
        <w:t>IT: GR_GERICHTE S 2023 123 del 20 agosto 2024</w:t>
      </w:r>
    </w:p>
    <w:p>
      <w:pPr>
        <w:pStyle w:val="Heading2"/>
      </w:pPr>
      <w:r>
        <w:t>Regeste</w:t>
      </w:r>
    </w:p>
    <w:p>
      <w:r>
        <w:t>Ergänzungsleistungen | Ergänzungsleistungen/EOG</w:t>
      </w:r>
    </w:p>
    <w:p>
      <w:pPr>
        <w:pStyle w:val="Heading2"/>
      </w:pPr>
      <w:r>
        <w:t>Erwägungen</w:t>
      </w:r>
    </w:p>
    <w:p>
      <w:r>
        <w:rPr>
          <w:b/>
        </w:rPr>
        <w:t>E. 31</w:t>
      </w:r>
    </w:p>
    <w:p>
      <w:r>
        <w:t>Dezember 2013]). Unter Berücksichtigung der jährlichen Amortisation von CHF 10'000.-- beläuft sich das Verzichtsvermögen per 1. Januar 2013 folglich auf CHF 31'998.-- (anstatt CHF 31'799.--). In der Folgerechnung ging die Beschwerdegegnerin dann per 1. Januar 2014 korrekt von einem</w:t>
      </w:r>
    </w:p>
    <w:p>
      <w:r>
        <w:t>- 19 - Verzichtsvermögen von CHF 29'190.-- aus, weshalb das von der Beschwerdegegnerin ermittelte Ergebnis eines Vermögensverzichts von CHF 149'066.-- per 1. Januar 2023 trotz der vorstehend erwähnten Korrekturen korrekt ist. Weitere Ausführungen zum Sparguthaben und dem Darlehen erübrigen sich damit. 8. Nach dem Ausgeführten erweist sich der angefochtene Einspracheentscheid vom 12. Oktober 2023 (Bg-act. 29) im Ergebnis als rechtens und die dagegen erhobene Beschwerde ist abzuweisen. 9.1.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Demnach werden für das vorliegende Beschwerdeverfahren keine Kosten erhoben. Das entsprechende, gleichzeitig mit der Beschwerde gestellte Gesuch der Beschwerdeführerin vom 13. November 2023 um Gewährung der unentgeltlichen Rechtspflege und Rechtsverbeiständung wird damit - in Bezug auf die Gerichtskosten - gegenstandslos. 9.2. Der obsiegenden Beschwerdegegnerin steht kein Anspruch auf Ersatz der Parteikosten zu (vgl. Art. 61 lit. g ATSG). 9.3.1. Nach Art. 29 Abs. 3 BV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w:t>
      </w:r>
    </w:p>
    <w:p>
      <w:r>
        <w:t>- 20 - Lebensunterhalts und desjenigen ihrer Familie erforderlich sind (vgl. BGE 144 III 531 E.4.1 und 141 III 369 E.4.1).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mit Hinweisen). Die beschwerdeführende Person hat ausserdem, wo die Verhältnisse es rechtfertigen, Anspruch auf unentgeltlichen Rechtsbeistand (vgl. Art. 61 lit. f ATSG sowie Art. 76 Abs. 3 VRG), sofern die Verbeiständung durch einen Anwalt oder eine Anwältin notwendig oder doch geboten ist (vgl. BGE 135 I 1 E.7.1, 132 V 200 E.4.1, 131 V 155 E.3.1 mit Hinweis; Urteil des Bundesgerichts 8C_374/2022 vom 5. Dezember 2022 E.6.1). Die Bewilligung der unentgeltlichen Rechtspflege befreit von allen behördlichen (inkl. gerichtlichen) Kosten und Gebühren. Die Vorschriften über die Erstattung (Art. 77 VRG) bleiben ausdrücklich vorbehalten. Die Entschädigung richtet sich nach der Anwaltsgesetzgebung (Art. 76 Abs. 3 VRG). Gemäss Art. 5 der Verordnung über die Bemessung des Honorars der Rechtsanwältinnen und Rechtsanwälte (Honorarverordnung, HV; BR 310.250) wird für den berechtigten Aufwand der unentgeltlichen Vertretung ein Honorar von CHF 200.-- pro Stunde zuzüglich notwendige Barauslagen und Mehrwertsteuer ausgerichtet. Angesichts der ausgewiesenen Einkommensverhältnissen (Renten) und Ausgaben sowie dem Umstand, dass die Beschwerdeführerin Sozialhilfe</w:t>
      </w:r>
    </w:p>
    <w:p>
      <w:r>
        <w:t>- 21 - bezieht (vgl. Gerichtsakten F1), ist die Bedürftigkeit der Beschwerdeführerin ausgewiesen. Nachdem die vorliegende Beschwerde zudem nicht als aussichtslos im Sinne der zitierten Rechtsprechung bezeichnet werden kann und eine Verbeiständung durch einen Rechtsanwalt bei den sich vorliegend stellenden Sach- und Rechtsfragen als geboten erscheint, ist der Beschwerdeführerin in der Person von Rechtsanwalt MLaw Severin Walz ein unentgeltlicher Rechtsbeistand zu bewilligen. 9.3.2. Mit Honorarnote vom 7. Februar 2024 über CHF 3'332.85 macht der Rechtsvertreter einen Arbeitsaufwand von 15.33 Stunden geltend. Dieser Aufwand scheint vertretbar, zumal der Rechtsvertreter im Einspracheverfahren noch nicht beteiligt war. Die Entschädigung beläuft sich somit auf marginal korrigierte CHF 3'332.-- (15.33 Stunden [5.58 Stunden {2023} und 9.75 Stunden {2024}] à Fr. 200.-- ergibt CHF 3'066.-- zuzüglich Spesen von CHF 20.50 [CHF 7.70 {2023} und CHF 12.80 {2024}] und MWST von CHF 245.50 [CHF 86.50 {2023 zu 7.7 %} und CHF 159.-- {2024 zu 8.1 %}]). In diesem Umfang ist der Rechtsvertreter der Beschwerdeführerin aus der Gerichtskasse zu entschädigen. Es gilt der Vorbehalt von Art. 77 VRG, wonach die vom Staat übernommenen Kosten zurückgefordert werden können, wenn sich die Einkommens- oder Vermögensverhältnisse der Beschwerdeführerin gebessert haben und sie zur Rückerstattung in der Lage ist.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